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5593" w:type="dxa"/>
        <w:tblInd w:w="-102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1475"/>
        <w:gridCol w:w="765"/>
        <w:gridCol w:w="1587"/>
        <w:gridCol w:w="1360"/>
        <w:gridCol w:w="1220"/>
        <w:gridCol w:w="2704"/>
        <w:gridCol w:w="1080"/>
        <w:gridCol w:w="1800"/>
        <w:gridCol w:w="289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15593" w:type="dxa"/>
            <w:gridSpan w:val="10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rPr>
                <w:rFonts w:hint="eastAsia" w:ascii="黑体" w:hAnsi="黑体" w:eastAsia="黑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8"/>
                <w:szCs w:val="28"/>
              </w:rPr>
              <w:t xml:space="preserve">附件1      </w:t>
            </w:r>
          </w:p>
          <w:p>
            <w:pPr>
              <w:widowControl/>
              <w:jc w:val="center"/>
              <w:rPr>
                <w:rFonts w:hint="eastAsia" w:ascii="方正小标宋简体" w:hAnsi="宋体" w:eastAsia="方正小标宋简体" w:cs="宋体"/>
                <w:bCs/>
                <w:kern w:val="0"/>
                <w:sz w:val="44"/>
                <w:szCs w:val="44"/>
              </w:rPr>
            </w:pPr>
            <w:r>
              <w:rPr>
                <w:rFonts w:hint="eastAsia" w:ascii="方正小标宋简体" w:hAnsi="宋体" w:eastAsia="方正小标宋简体" w:cs="宋体"/>
                <w:bCs/>
                <w:kern w:val="0"/>
                <w:sz w:val="44"/>
                <w:szCs w:val="44"/>
              </w:rPr>
              <w:t>紫金县纪委监委2019年公开选调公务员职位条件表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黑体" w:hAnsi="黑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2"/>
                <w:szCs w:val="22"/>
              </w:rPr>
              <w:t>选调</w:t>
            </w:r>
            <w:r>
              <w:rPr>
                <w:rFonts w:hint="eastAsia" w:ascii="黑体" w:hAnsi="黑体" w:eastAsia="黑体" w:cs="宋体"/>
                <w:bCs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黑体" w:hAnsi="黑体" w:eastAsia="黑体" w:cs="宋体"/>
                <w:bCs/>
                <w:kern w:val="0"/>
                <w:sz w:val="22"/>
                <w:szCs w:val="22"/>
              </w:rPr>
              <w:t>单位</w:t>
            </w:r>
          </w:p>
        </w:tc>
        <w:tc>
          <w:tcPr>
            <w:tcW w:w="1475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黑体" w:hAnsi="黑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2"/>
                <w:szCs w:val="22"/>
              </w:rPr>
              <w:t>选调</w:t>
            </w:r>
            <w:r>
              <w:rPr>
                <w:rFonts w:hint="eastAsia" w:ascii="黑体" w:hAnsi="黑体" w:eastAsia="黑体" w:cs="宋体"/>
                <w:bCs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黑体" w:hAnsi="黑体" w:eastAsia="黑体" w:cs="宋体"/>
                <w:bCs/>
                <w:kern w:val="0"/>
                <w:sz w:val="22"/>
                <w:szCs w:val="22"/>
              </w:rPr>
              <w:t>职位</w:t>
            </w:r>
          </w:p>
        </w:tc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黑体" w:hAnsi="黑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2"/>
                <w:szCs w:val="22"/>
              </w:rPr>
              <w:t>选调</w:t>
            </w:r>
            <w:r>
              <w:rPr>
                <w:rFonts w:hint="eastAsia" w:ascii="黑体" w:hAnsi="黑体" w:eastAsia="黑体" w:cs="宋体"/>
                <w:bCs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黑体" w:hAnsi="黑体" w:eastAsia="黑体" w:cs="宋体"/>
                <w:bCs/>
                <w:kern w:val="0"/>
                <w:sz w:val="22"/>
                <w:szCs w:val="22"/>
              </w:rPr>
              <w:t>人数</w:t>
            </w:r>
          </w:p>
        </w:tc>
        <w:tc>
          <w:tcPr>
            <w:tcW w:w="1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黑体" w:hAnsi="黑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2"/>
                <w:szCs w:val="22"/>
              </w:rPr>
              <w:t>选调对象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黑体" w:hAnsi="黑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2"/>
                <w:szCs w:val="22"/>
              </w:rPr>
              <w:t>职务</w:t>
            </w:r>
            <w:r>
              <w:rPr>
                <w:rFonts w:hint="eastAsia" w:ascii="黑体" w:hAnsi="黑体" w:eastAsia="黑体" w:cs="宋体"/>
                <w:bCs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黑体" w:hAnsi="黑体" w:eastAsia="黑体" w:cs="宋体"/>
                <w:bCs/>
                <w:kern w:val="0"/>
                <w:sz w:val="22"/>
                <w:szCs w:val="22"/>
              </w:rPr>
              <w:t>级别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黑体" w:hAnsi="黑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2"/>
                <w:szCs w:val="22"/>
              </w:rPr>
              <w:t>年龄</w:t>
            </w:r>
          </w:p>
        </w:tc>
        <w:tc>
          <w:tcPr>
            <w:tcW w:w="2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黑体" w:hAnsi="黑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2"/>
                <w:szCs w:val="22"/>
              </w:rPr>
              <w:t>专业和工作单位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黑体" w:hAnsi="黑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2"/>
                <w:szCs w:val="22"/>
              </w:rPr>
              <w:t>学历</w:t>
            </w:r>
            <w:r>
              <w:rPr>
                <w:rFonts w:hint="eastAsia" w:ascii="黑体" w:hAnsi="黑体" w:eastAsia="黑体" w:cs="宋体"/>
                <w:bCs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黑体" w:hAnsi="黑体" w:eastAsia="黑体" w:cs="宋体"/>
                <w:bCs/>
                <w:kern w:val="0"/>
                <w:sz w:val="22"/>
                <w:szCs w:val="22"/>
              </w:rPr>
              <w:t>学位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黑体" w:hAnsi="黑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2"/>
                <w:szCs w:val="22"/>
              </w:rPr>
              <w:t>其他条件</w:t>
            </w:r>
          </w:p>
        </w:tc>
        <w:tc>
          <w:tcPr>
            <w:tcW w:w="28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黑体" w:hAnsi="黑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5" w:hRule="atLeast"/>
        </w:trPr>
        <w:tc>
          <w:tcPr>
            <w:tcW w:w="70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_GBK"/>
                <w:bCs/>
                <w:kern w:val="0"/>
                <w:sz w:val="22"/>
                <w:szCs w:val="22"/>
              </w:rPr>
            </w:pPr>
            <w:r>
              <w:rPr>
                <w:rFonts w:eastAsia="方正仿宋_GBK"/>
                <w:bCs/>
                <w:kern w:val="0"/>
                <w:sz w:val="22"/>
                <w:szCs w:val="22"/>
              </w:rPr>
              <w:t>紫</w:t>
            </w:r>
          </w:p>
          <w:p>
            <w:pPr>
              <w:widowControl/>
              <w:spacing w:line="360" w:lineRule="exact"/>
              <w:jc w:val="center"/>
              <w:rPr>
                <w:rFonts w:eastAsia="方正仿宋_GBK"/>
                <w:bCs/>
                <w:kern w:val="0"/>
                <w:sz w:val="22"/>
                <w:szCs w:val="22"/>
              </w:rPr>
            </w:pPr>
            <w:r>
              <w:rPr>
                <w:rFonts w:eastAsia="方正仿宋_GBK"/>
                <w:bCs/>
                <w:kern w:val="0"/>
                <w:sz w:val="22"/>
                <w:szCs w:val="22"/>
              </w:rPr>
              <w:t>金</w:t>
            </w:r>
          </w:p>
          <w:p>
            <w:pPr>
              <w:widowControl/>
              <w:spacing w:line="360" w:lineRule="exact"/>
              <w:jc w:val="center"/>
              <w:rPr>
                <w:rFonts w:eastAsia="方正仿宋_GBK"/>
                <w:bCs/>
                <w:kern w:val="0"/>
                <w:sz w:val="22"/>
                <w:szCs w:val="22"/>
              </w:rPr>
            </w:pPr>
            <w:r>
              <w:rPr>
                <w:rFonts w:eastAsia="方正仿宋_GBK"/>
                <w:bCs/>
                <w:kern w:val="0"/>
                <w:sz w:val="22"/>
                <w:szCs w:val="22"/>
              </w:rPr>
              <w:t>县</w:t>
            </w:r>
            <w:r>
              <w:rPr>
                <w:rFonts w:eastAsia="方正仿宋_GBK"/>
                <w:bCs/>
                <w:kern w:val="0"/>
                <w:sz w:val="22"/>
                <w:szCs w:val="22"/>
              </w:rPr>
              <w:br w:type="textWrapping"/>
            </w:r>
            <w:r>
              <w:rPr>
                <w:rFonts w:eastAsia="方正仿宋_GBK"/>
                <w:bCs/>
                <w:kern w:val="0"/>
                <w:sz w:val="22"/>
                <w:szCs w:val="22"/>
              </w:rPr>
              <w:t>纪</w:t>
            </w:r>
            <w:r>
              <w:rPr>
                <w:rFonts w:eastAsia="方正仿宋_GBK"/>
                <w:bCs/>
                <w:kern w:val="0"/>
                <w:sz w:val="22"/>
                <w:szCs w:val="22"/>
              </w:rPr>
              <w:br w:type="textWrapping"/>
            </w:r>
            <w:r>
              <w:rPr>
                <w:rFonts w:eastAsia="方正仿宋_GBK"/>
                <w:bCs/>
                <w:kern w:val="0"/>
                <w:sz w:val="22"/>
                <w:szCs w:val="22"/>
              </w:rPr>
              <w:t>委</w:t>
            </w:r>
            <w:r>
              <w:rPr>
                <w:rFonts w:eastAsia="方正仿宋_GBK"/>
                <w:bCs/>
                <w:kern w:val="0"/>
                <w:sz w:val="22"/>
                <w:szCs w:val="22"/>
              </w:rPr>
              <w:br w:type="textWrapping"/>
            </w:r>
            <w:r>
              <w:rPr>
                <w:rFonts w:eastAsia="方正仿宋_GBK"/>
                <w:bCs/>
                <w:kern w:val="0"/>
                <w:sz w:val="22"/>
                <w:szCs w:val="22"/>
              </w:rPr>
              <w:t>监</w:t>
            </w:r>
          </w:p>
          <w:p>
            <w:pPr>
              <w:widowControl/>
              <w:spacing w:line="360" w:lineRule="exact"/>
              <w:jc w:val="center"/>
              <w:rPr>
                <w:rFonts w:eastAsia="方正仿宋_GBK"/>
                <w:bCs/>
                <w:kern w:val="0"/>
                <w:sz w:val="22"/>
                <w:szCs w:val="22"/>
              </w:rPr>
            </w:pPr>
            <w:r>
              <w:rPr>
                <w:rFonts w:eastAsia="方正仿宋_GBK"/>
                <w:bCs/>
                <w:kern w:val="0"/>
                <w:sz w:val="22"/>
                <w:szCs w:val="22"/>
              </w:rPr>
              <w:t>委</w:t>
            </w:r>
          </w:p>
        </w:tc>
        <w:tc>
          <w:tcPr>
            <w:tcW w:w="147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_GBK"/>
                <w:bCs/>
                <w:kern w:val="0"/>
                <w:sz w:val="22"/>
                <w:szCs w:val="22"/>
              </w:rPr>
            </w:pPr>
            <w:r>
              <w:rPr>
                <w:rFonts w:eastAsia="方正仿宋_GBK"/>
                <w:bCs/>
                <w:kern w:val="0"/>
                <w:sz w:val="22"/>
                <w:szCs w:val="22"/>
              </w:rPr>
              <w:t>01</w:t>
            </w:r>
          </w:p>
          <w:p>
            <w:pPr>
              <w:widowControl/>
              <w:spacing w:line="360" w:lineRule="exact"/>
              <w:jc w:val="center"/>
              <w:rPr>
                <w:rFonts w:eastAsia="方正仿宋_GBK"/>
                <w:bCs/>
                <w:kern w:val="0"/>
                <w:sz w:val="22"/>
                <w:szCs w:val="22"/>
              </w:rPr>
            </w:pPr>
            <w:r>
              <w:rPr>
                <w:rFonts w:eastAsia="方正仿宋_GBK"/>
                <w:bCs/>
                <w:kern w:val="0"/>
                <w:sz w:val="22"/>
                <w:szCs w:val="22"/>
              </w:rPr>
              <w:t>（纪律审查岗位）</w:t>
            </w:r>
          </w:p>
        </w:tc>
        <w:tc>
          <w:tcPr>
            <w:tcW w:w="76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_GBK"/>
                <w:bCs/>
                <w:kern w:val="0"/>
                <w:sz w:val="22"/>
                <w:szCs w:val="22"/>
              </w:rPr>
            </w:pPr>
            <w:r>
              <w:rPr>
                <w:rFonts w:eastAsia="方正仿宋_GBK"/>
                <w:bCs/>
                <w:kern w:val="0"/>
                <w:sz w:val="22"/>
                <w:szCs w:val="22"/>
              </w:rPr>
              <w:t>2</w:t>
            </w:r>
          </w:p>
        </w:tc>
        <w:tc>
          <w:tcPr>
            <w:tcW w:w="158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bCs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全县县直党政机关（含参照公务员法管理机关单位）具备公务员身份（含参照公务员法管理机关单位工作人员）且符合选调条件的人员。</w:t>
            </w:r>
          </w:p>
        </w:tc>
        <w:tc>
          <w:tcPr>
            <w:tcW w:w="13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_GBK"/>
                <w:bCs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bCs/>
                <w:kern w:val="0"/>
                <w:sz w:val="22"/>
                <w:szCs w:val="22"/>
              </w:rPr>
              <w:t>科员</w:t>
            </w:r>
            <w:r>
              <w:rPr>
                <w:rFonts w:eastAsia="方正仿宋_GBK"/>
                <w:bCs/>
                <w:kern w:val="0"/>
                <w:sz w:val="22"/>
                <w:szCs w:val="22"/>
              </w:rPr>
              <w:t>职级</w:t>
            </w:r>
          </w:p>
          <w:p>
            <w:pPr>
              <w:widowControl/>
              <w:spacing w:line="360" w:lineRule="exact"/>
              <w:jc w:val="center"/>
              <w:rPr>
                <w:rFonts w:eastAsia="方正仿宋_GBK"/>
                <w:bCs/>
                <w:kern w:val="0"/>
                <w:sz w:val="22"/>
                <w:szCs w:val="22"/>
              </w:rPr>
            </w:pPr>
            <w:r>
              <w:rPr>
                <w:rFonts w:eastAsia="方正仿宋_GBK"/>
                <w:bCs/>
                <w:kern w:val="0"/>
                <w:sz w:val="22"/>
                <w:szCs w:val="22"/>
              </w:rPr>
              <w:br w:type="textWrapping"/>
            </w:r>
            <w:r>
              <w:rPr>
                <w:rFonts w:eastAsia="方正仿宋_GBK"/>
                <w:bCs/>
                <w:kern w:val="0"/>
                <w:sz w:val="22"/>
                <w:szCs w:val="22"/>
              </w:rPr>
              <w:br w:type="textWrapping"/>
            </w:r>
          </w:p>
        </w:tc>
        <w:tc>
          <w:tcPr>
            <w:tcW w:w="12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_GBK"/>
                <w:bCs/>
                <w:kern w:val="0"/>
                <w:sz w:val="22"/>
                <w:szCs w:val="22"/>
              </w:rPr>
            </w:pPr>
            <w:r>
              <w:rPr>
                <w:rFonts w:eastAsia="方正仿宋_GBK"/>
                <w:bCs/>
                <w:kern w:val="0"/>
                <w:sz w:val="22"/>
                <w:szCs w:val="22"/>
              </w:rPr>
              <w:t>35周岁以下（1984年8月1日后出生）</w:t>
            </w:r>
            <w:r>
              <w:rPr>
                <w:rFonts w:eastAsia="方正仿宋_GBK"/>
                <w:bCs/>
                <w:kern w:val="0"/>
                <w:sz w:val="22"/>
                <w:szCs w:val="22"/>
              </w:rPr>
              <w:br w:type="textWrapping"/>
            </w:r>
            <w:r>
              <w:rPr>
                <w:rFonts w:eastAsia="方正仿宋_GBK"/>
                <w:bCs/>
                <w:kern w:val="0"/>
                <w:sz w:val="22"/>
                <w:szCs w:val="22"/>
              </w:rPr>
              <w:br w:type="textWrapping"/>
            </w:r>
          </w:p>
        </w:tc>
        <w:tc>
          <w:tcPr>
            <w:tcW w:w="270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eastAsia="方正仿宋_GBK"/>
                <w:bCs/>
                <w:kern w:val="0"/>
                <w:sz w:val="22"/>
                <w:szCs w:val="22"/>
              </w:rPr>
            </w:pPr>
            <w:r>
              <w:rPr>
                <w:rFonts w:eastAsia="方正仿宋_GBK"/>
                <w:bCs/>
                <w:kern w:val="0"/>
                <w:sz w:val="22"/>
                <w:szCs w:val="22"/>
              </w:rPr>
              <w:t>目前在纪检监察、公安、检察院、法院、司法、财政、审计、税务、金融（监管）、自然资源、住房和城乡建设等部门从事执纪执法或行业监管工作，满1年（不含综合、行政、后勤类岗位）。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eastAsia="方正仿宋_GBK"/>
                <w:bCs/>
                <w:kern w:val="0"/>
                <w:sz w:val="22"/>
                <w:szCs w:val="22"/>
              </w:rPr>
            </w:pPr>
            <w:r>
              <w:rPr>
                <w:rFonts w:eastAsia="方正仿宋_GBK"/>
                <w:bCs/>
                <w:kern w:val="0"/>
                <w:sz w:val="22"/>
                <w:szCs w:val="22"/>
              </w:rPr>
              <w:t>全日制本科及学士以上学历学位</w:t>
            </w:r>
          </w:p>
        </w:tc>
        <w:tc>
          <w:tcPr>
            <w:tcW w:w="180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eastAsia="方正仿宋_GBK"/>
                <w:bCs/>
                <w:kern w:val="0"/>
                <w:sz w:val="22"/>
                <w:szCs w:val="22"/>
              </w:rPr>
            </w:pPr>
            <w:r>
              <w:rPr>
                <w:rFonts w:eastAsia="方正仿宋_GBK"/>
                <w:bCs/>
                <w:kern w:val="0"/>
                <w:sz w:val="22"/>
                <w:szCs w:val="22"/>
              </w:rPr>
              <w:t>同等条件下通过国家司法考试或具有会计师、审计师等专业技术资格的可优先考虑。</w:t>
            </w:r>
          </w:p>
        </w:tc>
        <w:tc>
          <w:tcPr>
            <w:tcW w:w="289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ind w:firstLine="400" w:firstLineChars="200"/>
              <w:jc w:val="left"/>
              <w:rPr>
                <w:rFonts w:eastAsia="方正仿宋_GBK"/>
                <w:bCs/>
                <w:kern w:val="0"/>
                <w:sz w:val="20"/>
                <w:szCs w:val="20"/>
              </w:rPr>
            </w:pPr>
            <w:r>
              <w:rPr>
                <w:rFonts w:eastAsia="方正仿宋_GBK"/>
                <w:bCs/>
                <w:kern w:val="0"/>
                <w:sz w:val="20"/>
                <w:szCs w:val="20"/>
              </w:rPr>
              <w:t>1.参加选调干部除了应符合选调条件之外，报名者须经所在单位组织人事部门同意。</w:t>
            </w:r>
            <w:r>
              <w:rPr>
                <w:rFonts w:eastAsia="方正仿宋_GBK"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eastAsia="方正仿宋_GBK"/>
                <w:bCs/>
                <w:kern w:val="0"/>
                <w:sz w:val="20"/>
                <w:szCs w:val="20"/>
              </w:rPr>
              <w:t xml:space="preserve">    </w:t>
            </w:r>
            <w:r>
              <w:rPr>
                <w:rFonts w:eastAsia="方正仿宋_GBK"/>
                <w:bCs/>
                <w:kern w:val="0"/>
                <w:sz w:val="20"/>
                <w:szCs w:val="20"/>
              </w:rPr>
              <w:t>2.每人只能选报一个职位。</w:t>
            </w:r>
            <w:r>
              <w:rPr>
                <w:rFonts w:eastAsia="方正仿宋_GBK"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eastAsia="方正仿宋_GBK"/>
                <w:bCs/>
                <w:kern w:val="0"/>
                <w:sz w:val="20"/>
                <w:szCs w:val="20"/>
              </w:rPr>
              <w:t xml:space="preserve">    </w:t>
            </w:r>
            <w:r>
              <w:rPr>
                <w:rFonts w:eastAsia="方正仿宋_GBK"/>
                <w:bCs/>
                <w:kern w:val="0"/>
                <w:sz w:val="20"/>
                <w:szCs w:val="20"/>
              </w:rPr>
              <w:t>3.选报纪律审查岗位的须能够适应外勤、出差任务。</w:t>
            </w:r>
            <w:r>
              <w:rPr>
                <w:rFonts w:eastAsia="方正仿宋_GBK"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eastAsia="方正仿宋_GBK"/>
                <w:bCs/>
                <w:kern w:val="0"/>
                <w:sz w:val="20"/>
                <w:szCs w:val="20"/>
              </w:rPr>
              <w:t xml:space="preserve">    </w:t>
            </w:r>
            <w:r>
              <w:rPr>
                <w:rFonts w:eastAsia="方正仿宋_GBK"/>
                <w:bCs/>
                <w:kern w:val="0"/>
                <w:sz w:val="20"/>
                <w:szCs w:val="20"/>
              </w:rPr>
              <w:t>4.</w:t>
            </w:r>
            <w:r>
              <w:rPr>
                <w:rFonts w:eastAsia="方正仿宋_GBK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eastAsia="方正仿宋_GBK" w:cs="宋体"/>
                <w:bCs/>
                <w:kern w:val="0"/>
                <w:sz w:val="20"/>
                <w:szCs w:val="20"/>
              </w:rPr>
              <w:t>具有2年以上工作经历，任现职时间满1年，有服务年限的须工作满服务年限</w:t>
            </w:r>
            <w:r>
              <w:rPr>
                <w:rFonts w:eastAsia="方正仿宋_GBK"/>
                <w:bCs/>
                <w:kern w:val="0"/>
                <w:sz w:val="20"/>
                <w:szCs w:val="20"/>
              </w:rPr>
              <w:t>。如在现单位有服务年限或履行保密协议等时限要求，须在报名表“其他情况”栏中如实填报。</w:t>
            </w:r>
            <w:r>
              <w:rPr>
                <w:rFonts w:eastAsia="方正仿宋_GBK"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eastAsia="方正仿宋_GBK"/>
                <w:bCs/>
                <w:kern w:val="0"/>
                <w:sz w:val="20"/>
                <w:szCs w:val="20"/>
              </w:rPr>
              <w:t xml:space="preserve">    </w:t>
            </w:r>
            <w:r>
              <w:rPr>
                <w:rFonts w:eastAsia="方正仿宋_GBK"/>
                <w:bCs/>
                <w:kern w:val="0"/>
                <w:sz w:val="20"/>
                <w:szCs w:val="20"/>
              </w:rPr>
              <w:t>5.调入后，一年内不调整职级（从正式调入县纪委监委后的任职时间开始计算）。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_GBK"/>
                <w:bCs/>
                <w:kern w:val="0"/>
                <w:sz w:val="22"/>
                <w:szCs w:val="22"/>
              </w:rPr>
            </w:pPr>
          </w:p>
        </w:tc>
        <w:tc>
          <w:tcPr>
            <w:tcW w:w="147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_GBK"/>
                <w:bCs/>
                <w:kern w:val="0"/>
                <w:sz w:val="22"/>
                <w:szCs w:val="22"/>
              </w:rPr>
            </w:pPr>
          </w:p>
        </w:tc>
        <w:tc>
          <w:tcPr>
            <w:tcW w:w="76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_GBK"/>
                <w:bCs/>
                <w:kern w:val="0"/>
                <w:sz w:val="22"/>
                <w:szCs w:val="22"/>
              </w:rPr>
            </w:pPr>
          </w:p>
        </w:tc>
        <w:tc>
          <w:tcPr>
            <w:tcW w:w="158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_GBK"/>
                <w:bCs/>
                <w:kern w:val="0"/>
                <w:sz w:val="22"/>
                <w:szCs w:val="22"/>
              </w:rPr>
            </w:pPr>
          </w:p>
        </w:tc>
        <w:tc>
          <w:tcPr>
            <w:tcW w:w="13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_GBK"/>
                <w:bCs/>
                <w:kern w:val="0"/>
                <w:sz w:val="22"/>
                <w:szCs w:val="22"/>
              </w:rPr>
            </w:pPr>
          </w:p>
        </w:tc>
        <w:tc>
          <w:tcPr>
            <w:tcW w:w="12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_GBK"/>
                <w:bCs/>
                <w:kern w:val="0"/>
                <w:sz w:val="22"/>
                <w:szCs w:val="22"/>
              </w:rPr>
            </w:pPr>
          </w:p>
        </w:tc>
        <w:tc>
          <w:tcPr>
            <w:tcW w:w="270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_GBK"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_GBK"/>
                <w:bCs/>
                <w:kern w:val="0"/>
                <w:sz w:val="22"/>
                <w:szCs w:val="22"/>
              </w:rPr>
            </w:pPr>
          </w:p>
        </w:tc>
        <w:tc>
          <w:tcPr>
            <w:tcW w:w="18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_GBK"/>
                <w:bCs/>
                <w:kern w:val="0"/>
                <w:sz w:val="22"/>
                <w:szCs w:val="22"/>
              </w:rPr>
            </w:pPr>
          </w:p>
        </w:tc>
        <w:tc>
          <w:tcPr>
            <w:tcW w:w="28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方正仿宋_GBK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1" w:hRule="atLeast"/>
        </w:trPr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_GBK"/>
                <w:bCs/>
                <w:kern w:val="0"/>
                <w:sz w:val="22"/>
                <w:szCs w:val="22"/>
              </w:rPr>
            </w:pPr>
          </w:p>
        </w:tc>
        <w:tc>
          <w:tcPr>
            <w:tcW w:w="14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_GBK"/>
                <w:bCs/>
                <w:kern w:val="0"/>
                <w:sz w:val="22"/>
                <w:szCs w:val="22"/>
              </w:rPr>
            </w:pPr>
            <w:r>
              <w:rPr>
                <w:rFonts w:eastAsia="方正仿宋_GBK"/>
                <w:bCs/>
                <w:kern w:val="0"/>
                <w:sz w:val="22"/>
                <w:szCs w:val="22"/>
              </w:rPr>
              <w:t>02</w:t>
            </w:r>
          </w:p>
          <w:p>
            <w:pPr>
              <w:widowControl/>
              <w:spacing w:line="360" w:lineRule="exact"/>
              <w:jc w:val="center"/>
              <w:rPr>
                <w:rFonts w:eastAsia="方正仿宋_GBK"/>
                <w:bCs/>
                <w:kern w:val="0"/>
                <w:sz w:val="22"/>
                <w:szCs w:val="22"/>
              </w:rPr>
            </w:pPr>
            <w:r>
              <w:rPr>
                <w:rFonts w:eastAsia="方正仿宋_GBK"/>
                <w:bCs/>
                <w:kern w:val="0"/>
                <w:sz w:val="22"/>
                <w:szCs w:val="22"/>
              </w:rPr>
              <w:t>（文字综合岗位）</w:t>
            </w:r>
          </w:p>
        </w:tc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_GBK"/>
                <w:bCs/>
                <w:kern w:val="0"/>
                <w:sz w:val="22"/>
                <w:szCs w:val="22"/>
              </w:rPr>
            </w:pPr>
            <w:r>
              <w:rPr>
                <w:rFonts w:eastAsia="方正仿宋_GBK"/>
                <w:bCs/>
                <w:kern w:val="0"/>
                <w:sz w:val="22"/>
                <w:szCs w:val="22"/>
              </w:rPr>
              <w:t>1</w:t>
            </w:r>
          </w:p>
        </w:tc>
        <w:tc>
          <w:tcPr>
            <w:tcW w:w="158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_GBK"/>
                <w:bCs/>
                <w:kern w:val="0"/>
                <w:sz w:val="22"/>
                <w:szCs w:val="22"/>
              </w:rPr>
            </w:pPr>
          </w:p>
        </w:tc>
        <w:tc>
          <w:tcPr>
            <w:tcW w:w="13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_GBK"/>
                <w:bCs/>
                <w:kern w:val="0"/>
                <w:sz w:val="22"/>
                <w:szCs w:val="22"/>
              </w:rPr>
            </w:pPr>
          </w:p>
        </w:tc>
        <w:tc>
          <w:tcPr>
            <w:tcW w:w="12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_GBK"/>
                <w:bCs/>
                <w:kern w:val="0"/>
                <w:sz w:val="22"/>
                <w:szCs w:val="22"/>
              </w:rPr>
            </w:pPr>
          </w:p>
        </w:tc>
        <w:tc>
          <w:tcPr>
            <w:tcW w:w="2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ind w:firstLine="440" w:firstLineChars="200"/>
              <w:rPr>
                <w:rFonts w:eastAsia="方正仿宋_GBK"/>
                <w:bCs/>
                <w:kern w:val="0"/>
                <w:sz w:val="22"/>
                <w:szCs w:val="22"/>
              </w:rPr>
            </w:pPr>
            <w:r>
              <w:rPr>
                <w:rFonts w:eastAsia="方正仿宋_GBK"/>
                <w:bCs/>
                <w:kern w:val="0"/>
                <w:sz w:val="22"/>
                <w:szCs w:val="22"/>
              </w:rPr>
              <w:t>从事文字综合类工作，满1年，一般应具有中文、历史、哲学、新闻、法律、社会学、经济管理、公共管理、计算机类等专业的学历学位。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_GBK"/>
                <w:bCs/>
                <w:kern w:val="0"/>
                <w:sz w:val="22"/>
                <w:szCs w:val="22"/>
              </w:rPr>
            </w:pPr>
          </w:p>
        </w:tc>
        <w:tc>
          <w:tcPr>
            <w:tcW w:w="180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_GBK"/>
                <w:bCs/>
                <w:kern w:val="0"/>
                <w:sz w:val="22"/>
                <w:szCs w:val="22"/>
              </w:rPr>
            </w:pPr>
          </w:p>
        </w:tc>
        <w:tc>
          <w:tcPr>
            <w:tcW w:w="28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方正仿宋_GBK" w:cs="宋体"/>
                <w:b/>
                <w:bCs/>
                <w:kern w:val="0"/>
                <w:sz w:val="22"/>
                <w:szCs w:val="22"/>
              </w:rPr>
            </w:pPr>
          </w:p>
        </w:tc>
      </w:tr>
    </w:tbl>
    <w:p>
      <w:pPr>
        <w:spacing w:line="20" w:lineRule="exact"/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仿宋_GBK">
    <w:panose1 w:val="03000509000000000000"/>
    <w:charset w:val="86"/>
    <w:family w:val="script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A67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LIWENNA</cp:lastModifiedBy>
  <dcterms:modified xsi:type="dcterms:W3CDTF">2019-08-14T09:28:09Z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2052-11.1.0.8952</vt:lpwstr>
  </property>
</Properties>
</file>